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strategico ai sensi dell'art. 147-ter del D.Lgs. 267/200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strategico ai sensi dell'art. 147-ter del D.Lgs. 267/200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