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Area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Bardotti Sandro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Mugnaini Michela </w:t>
            </w:r>
          </w:p>
          <w:p>
            <w:pPr>
              <w:jc w:val="both"/>
            </w:pPr>
            <w:r>
              <w:rPr>
                <w:sz w:val="22"/>
                <w:szCs w:val="22"/>
              </w:rPr>
              <w:t xml:space="preserve">Cosci Catiuscia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Unione Comunale del Chianti Fiorentino</w:t>
            </w:r>
          </w:p>
          <w:p>
            <w:pPr>
              <w:jc w:val="both"/>
            </w:pPr>
            <w:r>
              <w:rPr>
                <w:sz w:val="22"/>
                <w:szCs w:val="22"/>
              </w:rPr>
              <w:t xml:space="preserve">Ciappi Roberto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